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1C" w:rsidRDefault="00990E59" w:rsidP="00990E59">
      <w:pPr>
        <w:spacing w:after="120"/>
        <w:jc w:val="center"/>
      </w:pPr>
      <w:r>
        <w:rPr>
          <w:noProof/>
          <w:lang w:eastAsia="es-AR"/>
        </w:rPr>
        <w:drawing>
          <wp:inline distT="0" distB="0" distL="0" distR="0">
            <wp:extent cx="2501900" cy="570865"/>
            <wp:effectExtent l="0" t="0" r="0" b="635"/>
            <wp:docPr id="1" name="Imagen 1" descr="http://ria.utn.edu.ar/themes/UTN-THEME/images/UTN-RI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ia.utn.edu.ar/themes/UTN-THEME/images/UTN-RIA-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F22" w:rsidRDefault="00272F22" w:rsidP="00990E59">
      <w:pPr>
        <w:spacing w:after="120"/>
        <w:jc w:val="center"/>
      </w:pPr>
    </w:p>
    <w:p w:rsidR="00990E59" w:rsidRDefault="00D572A8" w:rsidP="00990E59">
      <w:pPr>
        <w:spacing w:after="120"/>
        <w:jc w:val="center"/>
      </w:pPr>
      <w:hyperlink r:id="rId7" w:history="1">
        <w:r w:rsidR="0008251C" w:rsidRPr="0039280E">
          <w:rPr>
            <w:rStyle w:val="Hipervnculo"/>
          </w:rPr>
          <w:t>http://ria.utn.edu.ar/</w:t>
        </w:r>
      </w:hyperlink>
    </w:p>
    <w:p w:rsidR="00272F22" w:rsidRDefault="00272F22" w:rsidP="00990E59">
      <w:pPr>
        <w:spacing w:after="120"/>
        <w:ind w:firstLine="708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Autoarchivo</w:t>
      </w:r>
    </w:p>
    <w:p w:rsidR="00314CA7" w:rsidRDefault="00314CA7" w:rsidP="00D572A8">
      <w:pPr>
        <w:spacing w:after="120"/>
        <w:jc w:val="both"/>
      </w:pPr>
      <w:r>
        <w:t>Acto por el cual el autor deposita su obra en un repositorio institucional.</w:t>
      </w:r>
    </w:p>
    <w:p w:rsidR="00314CA7" w:rsidRP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Cosecha (</w:t>
      </w:r>
      <w:proofErr w:type="spellStart"/>
      <w:r w:rsidRPr="00314CA7">
        <w:rPr>
          <w:b/>
        </w:rPr>
        <w:t>harvesting</w:t>
      </w:r>
      <w:proofErr w:type="spellEnd"/>
      <w:r w:rsidRPr="00314CA7">
        <w:rPr>
          <w:b/>
        </w:rPr>
        <w:t>)</w:t>
      </w:r>
    </w:p>
    <w:p w:rsidR="00314CA7" w:rsidRDefault="00314CA7" w:rsidP="00D572A8">
      <w:pPr>
        <w:spacing w:after="120"/>
        <w:jc w:val="both"/>
      </w:pPr>
      <w:r>
        <w:t>En relación con la OAI, la recolección se refiere específicamente a la recogida de los</w:t>
      </w:r>
      <w:r>
        <w:t xml:space="preserve"> </w:t>
      </w:r>
      <w:r>
        <w:t>metadatos de una serie de repositorios distribuidos en un almacén de datos combinados.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Embargo</w:t>
      </w:r>
    </w:p>
    <w:p w:rsidR="00314CA7" w:rsidRDefault="00314CA7" w:rsidP="00D572A8">
      <w:pPr>
        <w:spacing w:after="120"/>
        <w:jc w:val="both"/>
      </w:pPr>
      <w:r>
        <w:t>La editorial a la que pertenece una revista donde se publica un artículo científico puede</w:t>
      </w:r>
      <w:r>
        <w:t xml:space="preserve"> </w:t>
      </w:r>
      <w:r>
        <w:t>establecer un periodo de embargo para su difusión en acceso abierto. Esto significa que</w:t>
      </w:r>
      <w:r>
        <w:t xml:space="preserve"> </w:t>
      </w:r>
      <w:r>
        <w:t>durante dicho periodo, el documento no puede estar disponible en acceso abierto.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E-</w:t>
      </w:r>
      <w:proofErr w:type="spellStart"/>
      <w:r w:rsidRPr="00314CA7">
        <w:rPr>
          <w:b/>
        </w:rPr>
        <w:t>print</w:t>
      </w:r>
      <w:proofErr w:type="spellEnd"/>
    </w:p>
    <w:p w:rsidR="00314CA7" w:rsidRDefault="00314CA7" w:rsidP="00D572A8">
      <w:pPr>
        <w:spacing w:after="120"/>
        <w:jc w:val="both"/>
      </w:pPr>
      <w:r>
        <w:t>Versión digital de un artículo científico con revisión por pares. Puede estar o no</w:t>
      </w:r>
      <w:r>
        <w:t xml:space="preserve"> </w:t>
      </w:r>
      <w:r>
        <w:t>publicado.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proofErr w:type="spellStart"/>
      <w:r w:rsidRPr="00314CA7">
        <w:rPr>
          <w:b/>
        </w:rPr>
        <w:t>Handle</w:t>
      </w:r>
      <w:proofErr w:type="spellEnd"/>
    </w:p>
    <w:p w:rsidR="00314CA7" w:rsidRDefault="00314CA7" w:rsidP="00D572A8">
      <w:pPr>
        <w:spacing w:after="120"/>
        <w:jc w:val="both"/>
      </w:pPr>
      <w:r>
        <w:t>Un "</w:t>
      </w:r>
      <w:proofErr w:type="spellStart"/>
      <w:r>
        <w:t>handle</w:t>
      </w:r>
      <w:proofErr w:type="spellEnd"/>
      <w:r>
        <w:t xml:space="preserve">" es un identificador único y persistente (URI) que asigna el </w:t>
      </w:r>
      <w:proofErr w:type="spellStart"/>
      <w:r>
        <w:t>RepHipUNR</w:t>
      </w:r>
      <w:proofErr w:type="spellEnd"/>
      <w:r>
        <w:t xml:space="preserve"> a las</w:t>
      </w:r>
      <w:r>
        <w:t xml:space="preserve"> </w:t>
      </w:r>
      <w:r>
        <w:t>obras que se depositan. Esto significa que este identificador no se modificará ni por</w:t>
      </w:r>
      <w:r>
        <w:t xml:space="preserve"> </w:t>
      </w:r>
      <w:r>
        <w:t>cambios de servidor, de dominio en Internet, etc. Se puede utilizar para citar o enlazar el</w:t>
      </w:r>
      <w:r>
        <w:t xml:space="preserve"> </w:t>
      </w:r>
      <w:r>
        <w:t xml:space="preserve">documento. El sistema </w:t>
      </w:r>
      <w:proofErr w:type="spellStart"/>
      <w:r>
        <w:t>Handle</w:t>
      </w:r>
      <w:proofErr w:type="spellEnd"/>
      <w:r>
        <w:t xml:space="preserve"> está administrado por el </w:t>
      </w:r>
      <w:proofErr w:type="spellStart"/>
      <w:r>
        <w:t>Corporation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Initiatives</w:t>
      </w:r>
      <w:proofErr w:type="spellEnd"/>
      <w:r>
        <w:t xml:space="preserve"> (CNRI).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Metadatos</w:t>
      </w:r>
    </w:p>
    <w:p w:rsidR="00314CA7" w:rsidRDefault="00314CA7" w:rsidP="00D572A8">
      <w:pPr>
        <w:spacing w:after="120"/>
        <w:jc w:val="both"/>
      </w:pPr>
      <w:r>
        <w:t>Los metadatos brindan la información mínima necesaria para la identificación de un</w:t>
      </w:r>
      <w:r>
        <w:t xml:space="preserve"> </w:t>
      </w:r>
      <w:r>
        <w:t>objeto digital en el repositorio. Se refiere a toda aquella información descriptiva sobre el</w:t>
      </w:r>
      <w:r>
        <w:t xml:space="preserve"> </w:t>
      </w:r>
      <w:r>
        <w:t>contexto, calidad, condición o características de un recurso, dato u objeto que tiene la</w:t>
      </w:r>
      <w:r>
        <w:t xml:space="preserve"> </w:t>
      </w:r>
      <w:r>
        <w:t>finalidad de facilitar su búsqueda, recuperación, autentificación, evaluación, preservación</w:t>
      </w:r>
      <w:r>
        <w:t xml:space="preserve"> </w:t>
      </w:r>
      <w:r>
        <w:t>y/o interoperabilidad.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 xml:space="preserve">Open Archives </w:t>
      </w:r>
      <w:proofErr w:type="spellStart"/>
      <w:r w:rsidRPr="00314CA7">
        <w:rPr>
          <w:b/>
        </w:rPr>
        <w:t>Initiative</w:t>
      </w:r>
      <w:proofErr w:type="spellEnd"/>
      <w:r w:rsidRPr="00314CA7">
        <w:rPr>
          <w:b/>
        </w:rPr>
        <w:t xml:space="preserve"> (OAI)</w:t>
      </w:r>
    </w:p>
    <w:p w:rsidR="00314CA7" w:rsidRDefault="00314CA7" w:rsidP="00D572A8">
      <w:pPr>
        <w:spacing w:after="120"/>
        <w:jc w:val="both"/>
      </w:pPr>
      <w:r>
        <w:t>La OAI se creó con la misión de desarrollar y promover estándares de interoperabilidad</w:t>
      </w:r>
      <w:r>
        <w:t xml:space="preserve"> </w:t>
      </w:r>
      <w:r>
        <w:t>para facilitar la difusión eficiente de contenidos en Internet. Surgió como un esfuerzo para</w:t>
      </w:r>
      <w:r>
        <w:t xml:space="preserve"> </w:t>
      </w:r>
      <w:r>
        <w:t xml:space="preserve">mejorar el acceso a </w:t>
      </w:r>
      <w:r>
        <w:lastRenderedPageBreak/>
        <w:t>archivos de publicaciones electrónicas (</w:t>
      </w:r>
      <w:proofErr w:type="spellStart"/>
      <w:r>
        <w:t>eprints</w:t>
      </w:r>
      <w:proofErr w:type="spellEnd"/>
      <w:r>
        <w:t>), para incrementar la</w:t>
      </w:r>
      <w:r>
        <w:t xml:space="preserve"> </w:t>
      </w:r>
      <w:r>
        <w:t>disponibilidad de las publicaciones científicas.</w:t>
      </w:r>
    </w:p>
    <w:p w:rsidR="00314CA7" w:rsidRDefault="00314CA7" w:rsidP="00D572A8">
      <w:pPr>
        <w:spacing w:after="120"/>
        <w:jc w:val="both"/>
      </w:pPr>
      <w:r>
        <w:t xml:space="preserve">Para difundir los metadatos en el repositorio vía OAI-PMH (Open Archives </w:t>
      </w:r>
      <w:proofErr w:type="spellStart"/>
      <w:r>
        <w:t>Initiative</w:t>
      </w:r>
      <w:proofErr w:type="spellEnd"/>
      <w:r>
        <w:t>-</w:t>
      </w:r>
      <w:r>
        <w:t xml:space="preserve"> </w:t>
      </w:r>
      <w:proofErr w:type="spellStart"/>
      <w:r>
        <w:t>Protocol</w:t>
      </w:r>
      <w:proofErr w:type="spellEnd"/>
      <w:r>
        <w:t xml:space="preserve"> </w:t>
      </w:r>
      <w:proofErr w:type="spellStart"/>
      <w:r>
        <w:t>Metadata</w:t>
      </w:r>
      <w:proofErr w:type="spellEnd"/>
      <w:r>
        <w:t xml:space="preserve"> </w:t>
      </w:r>
      <w:proofErr w:type="spellStart"/>
      <w:r>
        <w:t>Harvesting</w:t>
      </w:r>
      <w:proofErr w:type="spellEnd"/>
      <w:r>
        <w:t xml:space="preserve">) deberán codificarse en </w:t>
      </w:r>
      <w:proofErr w:type="spellStart"/>
      <w:r>
        <w:t>Dublin</w:t>
      </w:r>
      <w:proofErr w:type="spellEnd"/>
      <w:r>
        <w:t xml:space="preserve"> Core sin calificar con objeto</w:t>
      </w:r>
      <w:r>
        <w:t xml:space="preserve"> </w:t>
      </w:r>
      <w:r>
        <w:t>de minimizar los problemas derivados de las conversiones entre múltiples formatos.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Peer-</w:t>
      </w:r>
      <w:proofErr w:type="spellStart"/>
      <w:r w:rsidRPr="00314CA7">
        <w:rPr>
          <w:b/>
        </w:rPr>
        <w:t>review</w:t>
      </w:r>
      <w:proofErr w:type="spellEnd"/>
      <w:r w:rsidRPr="00314CA7">
        <w:rPr>
          <w:b/>
        </w:rPr>
        <w:t xml:space="preserve"> (Revisión por pares)</w:t>
      </w:r>
    </w:p>
    <w:p w:rsidR="00314CA7" w:rsidRDefault="00314CA7" w:rsidP="00D572A8">
      <w:pPr>
        <w:spacing w:after="120"/>
        <w:jc w:val="both"/>
      </w:pPr>
      <w:r>
        <w:t>Es el proceso mediante el cual se avala y certifica la calidad de la investigación y sus</w:t>
      </w:r>
      <w:r>
        <w:t xml:space="preserve"> </w:t>
      </w:r>
      <w:r>
        <w:t>resultados, realizado antes de su publicación en revistas científicas.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Artículo de investigación publicado</w:t>
      </w:r>
    </w:p>
    <w:p w:rsidR="00314CA7" w:rsidRDefault="00314CA7" w:rsidP="00D572A8">
      <w:pPr>
        <w:spacing w:after="120"/>
        <w:jc w:val="both"/>
      </w:pPr>
      <w:r>
        <w:t>Artículo científico y académico publicado en una revista con revisión por pares. Puede ser</w:t>
      </w:r>
      <w:r>
        <w:t xml:space="preserve"> </w:t>
      </w:r>
      <w:r>
        <w:t>la versión de la editorial o la versión final del autor.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Artículo de investigación aceptado para publicación</w:t>
      </w:r>
    </w:p>
    <w:p w:rsidR="00314CA7" w:rsidRDefault="00314CA7" w:rsidP="00D572A8">
      <w:pPr>
        <w:spacing w:after="120"/>
        <w:jc w:val="both"/>
      </w:pPr>
      <w:r>
        <w:t>Artículo científico y académico que ha pasado por el proceso de revisión por pares y ha</w:t>
      </w:r>
      <w:r>
        <w:t xml:space="preserve"> </w:t>
      </w:r>
      <w:r>
        <w:t>sido aceptado para su publicación en una revista académica. Incorpora las sugerencias</w:t>
      </w:r>
      <w:r>
        <w:t xml:space="preserve"> </w:t>
      </w:r>
      <w:r>
        <w:t>de los revisores.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Post-</w:t>
      </w:r>
      <w:proofErr w:type="spellStart"/>
      <w:r w:rsidRPr="00314CA7">
        <w:rPr>
          <w:b/>
        </w:rPr>
        <w:t>print</w:t>
      </w:r>
      <w:proofErr w:type="spellEnd"/>
    </w:p>
    <w:p w:rsidR="00314CA7" w:rsidRDefault="00314CA7" w:rsidP="00D572A8">
      <w:pPr>
        <w:spacing w:after="120"/>
        <w:jc w:val="both"/>
      </w:pPr>
      <w:r>
        <w:t>Tanto los artículos de investigación publicados como los aceptados para su publicación</w:t>
      </w:r>
      <w:r>
        <w:t xml:space="preserve"> </w:t>
      </w:r>
      <w:r>
        <w:t>se denominan “post-</w:t>
      </w:r>
      <w:proofErr w:type="spellStart"/>
      <w:r>
        <w:t>print</w:t>
      </w:r>
      <w:proofErr w:type="spellEnd"/>
      <w:r>
        <w:t>” porque han pasado el proceso de revisión de pares. Esto es</w:t>
      </w:r>
      <w:r>
        <w:t xml:space="preserve"> </w:t>
      </w:r>
      <w:r>
        <w:t>importante al momento de verificar las políticas de las editoriales en relación con el</w:t>
      </w:r>
      <w:r>
        <w:t xml:space="preserve"> </w:t>
      </w:r>
      <w:r>
        <w:t>depósito en repositorios institucionales.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Pre-</w:t>
      </w:r>
      <w:proofErr w:type="spellStart"/>
      <w:r w:rsidRPr="00314CA7">
        <w:rPr>
          <w:b/>
        </w:rPr>
        <w:t>print</w:t>
      </w:r>
      <w:proofErr w:type="spellEnd"/>
    </w:p>
    <w:p w:rsidR="00314CA7" w:rsidRDefault="00314CA7" w:rsidP="00D572A8">
      <w:pPr>
        <w:spacing w:after="120"/>
        <w:jc w:val="both"/>
      </w:pPr>
      <w:r>
        <w:t>Es la versión original del manuscrito enviado para su publicación en una revista científica.</w:t>
      </w:r>
      <w:r>
        <w:t xml:space="preserve"> </w:t>
      </w:r>
      <w:r>
        <w:t>No ha pasado aún el proceso de revisión por pares.</w:t>
      </w:r>
    </w:p>
    <w:p w:rsidR="00314CA7" w:rsidRDefault="00314CA7" w:rsidP="00D572A8">
      <w:pPr>
        <w:spacing w:after="120"/>
        <w:jc w:val="both"/>
      </w:pPr>
    </w:p>
    <w:p w:rsidR="00314CA7" w:rsidRPr="00314CA7" w:rsidRDefault="00314CA7" w:rsidP="00D572A8">
      <w:pPr>
        <w:spacing w:after="120"/>
        <w:jc w:val="both"/>
        <w:rPr>
          <w:b/>
        </w:rPr>
      </w:pPr>
      <w:r w:rsidRPr="00314CA7">
        <w:rPr>
          <w:b/>
        </w:rPr>
        <w:t>Revistas Académicas</w:t>
      </w:r>
    </w:p>
    <w:p w:rsidR="00314CA7" w:rsidRDefault="00314CA7" w:rsidP="00D572A8">
      <w:pPr>
        <w:spacing w:after="120"/>
        <w:jc w:val="both"/>
      </w:pPr>
      <w:r>
        <w:t>Son publicaciones periódicas de índole académica que pasan por un sistema de revisión</w:t>
      </w:r>
      <w:r w:rsidR="00C46EAE">
        <w:t xml:space="preserve"> </w:t>
      </w:r>
      <w:r>
        <w:t>por pares. De acuerdo a la UNESCO, se entiende por publicación periódica aquella</w:t>
      </w:r>
      <w:r w:rsidR="00C46EAE">
        <w:t xml:space="preserve"> </w:t>
      </w:r>
      <w:r>
        <w:t>editada en serie continua con el mismo título, a intervalos regulares e irregulares, durante</w:t>
      </w:r>
      <w:r w:rsidR="00C46EAE">
        <w:t xml:space="preserve"> </w:t>
      </w:r>
      <w:r>
        <w:t>un periodo indeterminado, de forma que los números de la serie lleven una numeración</w:t>
      </w:r>
      <w:r w:rsidR="00C46EAE">
        <w:t xml:space="preserve"> </w:t>
      </w:r>
      <w:r>
        <w:t>consecutiva o cada número esté fechado. Los tomos que lleven títulos diferentes no</w:t>
      </w:r>
      <w:r w:rsidR="00C46EAE">
        <w:t xml:space="preserve"> </w:t>
      </w:r>
      <w:r>
        <w:t>deberán ser considerados como publicaciones periódicas aunque se considere que</w:t>
      </w:r>
      <w:r w:rsidR="00C46EAE">
        <w:t xml:space="preserve"> </w:t>
      </w:r>
      <w:r>
        <w:t>forman parte de una serie. Las revistas académicas tienen asignado un ISSN</w:t>
      </w:r>
      <w:r w:rsidR="00C46EAE">
        <w:t xml:space="preserve"> </w:t>
      </w:r>
      <w:r>
        <w:t xml:space="preserve">(International Standard Serial </w:t>
      </w:r>
      <w:proofErr w:type="spellStart"/>
      <w:r>
        <w:t>Number</w:t>
      </w:r>
      <w:proofErr w:type="spellEnd"/>
      <w:r>
        <w:t>, Número Internacional Normalizado de</w:t>
      </w:r>
      <w:r w:rsidR="00C46EAE">
        <w:t xml:space="preserve"> </w:t>
      </w:r>
      <w:r>
        <w:t xml:space="preserve">Publicaciones </w:t>
      </w:r>
      <w:r w:rsidR="00C46EAE">
        <w:t>S</w:t>
      </w:r>
      <w:r>
        <w:t>eriadas), un número internacional que permite identificarla de manera</w:t>
      </w:r>
      <w:r w:rsidR="00C46EAE">
        <w:t xml:space="preserve"> </w:t>
      </w:r>
      <w:r>
        <w:t>única. En Argentina el CAICYT (Centro Argentino de Información Científica y</w:t>
      </w:r>
      <w:r w:rsidR="00C46EAE">
        <w:t xml:space="preserve"> </w:t>
      </w:r>
      <w:r>
        <w:t xml:space="preserve">Tecnológica) – CONICET es el centro nacional </w:t>
      </w:r>
      <w:r>
        <w:lastRenderedPageBreak/>
        <w:t>que asigna los ISSN a las revistas.</w:t>
      </w:r>
      <w:r w:rsidR="00C46EAE">
        <w:t xml:space="preserve"> </w:t>
      </w:r>
      <w:r>
        <w:t>Muchas revistas digitales agregan a sus artículos identificadores únicos denominados</w:t>
      </w:r>
      <w:r w:rsidR="00C46EAE">
        <w:t xml:space="preserve"> </w:t>
      </w:r>
      <w:r>
        <w:t xml:space="preserve">DOI (Digital </w:t>
      </w:r>
      <w:proofErr w:type="spellStart"/>
      <w:r>
        <w:t>Object</w:t>
      </w:r>
      <w:proofErr w:type="spellEnd"/>
      <w:r>
        <w:t xml:space="preserve"> </w:t>
      </w:r>
      <w:proofErr w:type="spellStart"/>
      <w:r>
        <w:t>Identifier</w:t>
      </w:r>
      <w:proofErr w:type="spellEnd"/>
      <w:r>
        <w:t>).</w:t>
      </w:r>
    </w:p>
    <w:p w:rsidR="00C46EAE" w:rsidRDefault="00C46EAE" w:rsidP="00D572A8">
      <w:pPr>
        <w:spacing w:after="120"/>
        <w:jc w:val="both"/>
      </w:pPr>
    </w:p>
    <w:p w:rsidR="00314CA7" w:rsidRPr="00C46EAE" w:rsidRDefault="00314CA7" w:rsidP="00D572A8">
      <w:pPr>
        <w:spacing w:after="120"/>
        <w:jc w:val="both"/>
        <w:rPr>
          <w:b/>
        </w:rPr>
      </w:pPr>
      <w:r w:rsidRPr="00C46EAE">
        <w:rPr>
          <w:b/>
        </w:rPr>
        <w:t>Documento de Conferencia</w:t>
      </w:r>
    </w:p>
    <w:p w:rsidR="00314CA7" w:rsidRDefault="00314CA7" w:rsidP="00D572A8">
      <w:pPr>
        <w:spacing w:after="120"/>
        <w:jc w:val="both"/>
      </w:pPr>
      <w:r>
        <w:t>Son comunicaciones presentadas en eventos tales como conferencias, congresos,</w:t>
      </w:r>
      <w:r w:rsidR="00C46EAE">
        <w:t xml:space="preserve"> </w:t>
      </w:r>
      <w:r>
        <w:t>seminarios, simposios, reuniones, workshops, talleres, jornadas, ferias, exposiciones,</w:t>
      </w:r>
      <w:r w:rsidR="00C46EAE">
        <w:t xml:space="preserve"> </w:t>
      </w:r>
      <w:r>
        <w:t>mesas redondas, encuentros. Incluye todos los tipos de documentos relacionados con</w:t>
      </w:r>
      <w:r w:rsidR="00C46EAE">
        <w:t xml:space="preserve"> </w:t>
      </w:r>
      <w:r>
        <w:t>eventos por ejemplo, artículos de conferencia, informes de conferencias, disertaciones de</w:t>
      </w:r>
      <w:r w:rsidR="00C46EAE">
        <w:t xml:space="preserve"> </w:t>
      </w:r>
      <w:r>
        <w:t>conferencias, artículos publicados en actas de conferencias, contribuciones de</w:t>
      </w:r>
      <w:r w:rsidR="00C46EAE">
        <w:t xml:space="preserve"> </w:t>
      </w:r>
      <w:r>
        <w:t>conferencias, informes de resúmenes de artículos de conferencias y pósteres de</w:t>
      </w:r>
      <w:r w:rsidR="00C46EAE">
        <w:t xml:space="preserve"> </w:t>
      </w:r>
      <w:r>
        <w:t>conferencias.</w:t>
      </w:r>
    </w:p>
    <w:p w:rsidR="00C46EAE" w:rsidRDefault="00C46EAE" w:rsidP="00D572A8">
      <w:pPr>
        <w:spacing w:after="120"/>
        <w:jc w:val="both"/>
      </w:pPr>
    </w:p>
    <w:p w:rsidR="00314CA7" w:rsidRPr="00C46EAE" w:rsidRDefault="00314CA7" w:rsidP="00D572A8">
      <w:pPr>
        <w:spacing w:after="120"/>
        <w:jc w:val="both"/>
        <w:rPr>
          <w:b/>
        </w:rPr>
      </w:pPr>
      <w:r w:rsidRPr="00C46EAE">
        <w:rPr>
          <w:b/>
        </w:rPr>
        <w:t>Libro</w:t>
      </w:r>
    </w:p>
    <w:p w:rsidR="00314CA7" w:rsidRDefault="00314CA7" w:rsidP="00D572A8">
      <w:pPr>
        <w:spacing w:after="120"/>
        <w:jc w:val="both"/>
      </w:pPr>
      <w:r>
        <w:t>Según la UNESCO se entiende por libro una publicación impresa o digital no periódica</w:t>
      </w:r>
      <w:r w:rsidR="00C46EAE">
        <w:t xml:space="preserve"> </w:t>
      </w:r>
      <w:r>
        <w:t>que consta como mínimo de 49 páginas, sin contar las de la cubierta, editada en el país y</w:t>
      </w:r>
      <w:r w:rsidR="00C46EAE">
        <w:t xml:space="preserve"> </w:t>
      </w:r>
      <w:r>
        <w:t>puesta a disposición del público. Los libros académicos generalmente tienen asignado un</w:t>
      </w:r>
      <w:r w:rsidR="00C46EAE">
        <w:t xml:space="preserve"> </w:t>
      </w:r>
      <w:r>
        <w:t xml:space="preserve">ISBN (International Standard Book </w:t>
      </w:r>
      <w:proofErr w:type="spellStart"/>
      <w:r>
        <w:t>Number</w:t>
      </w:r>
      <w:proofErr w:type="spellEnd"/>
      <w:r>
        <w:t>) que es un identificador único de la</w:t>
      </w:r>
      <w:r w:rsidR="00C46EAE">
        <w:t xml:space="preserve"> </w:t>
      </w:r>
      <w:r>
        <w:t>publicación.</w:t>
      </w:r>
    </w:p>
    <w:p w:rsidR="00C46EAE" w:rsidRDefault="00C46EAE" w:rsidP="00D572A8">
      <w:pPr>
        <w:spacing w:after="120"/>
        <w:jc w:val="both"/>
      </w:pPr>
    </w:p>
    <w:p w:rsidR="00314CA7" w:rsidRPr="00C46EAE" w:rsidRDefault="00314CA7" w:rsidP="00D572A8">
      <w:pPr>
        <w:spacing w:after="120"/>
        <w:jc w:val="both"/>
        <w:rPr>
          <w:b/>
        </w:rPr>
      </w:pPr>
      <w:r w:rsidRPr="00C46EAE">
        <w:rPr>
          <w:b/>
        </w:rPr>
        <w:t>Partes de libro</w:t>
      </w:r>
    </w:p>
    <w:p w:rsidR="00314CA7" w:rsidRDefault="00314CA7" w:rsidP="00D572A8">
      <w:pPr>
        <w:spacing w:after="120"/>
        <w:jc w:val="both"/>
      </w:pPr>
      <w:r>
        <w:t>Parte o capítulo de un libro.</w:t>
      </w:r>
    </w:p>
    <w:p w:rsidR="00C46EAE" w:rsidRDefault="00C46EAE" w:rsidP="00D572A8">
      <w:pPr>
        <w:spacing w:after="120"/>
        <w:jc w:val="both"/>
      </w:pPr>
    </w:p>
    <w:p w:rsidR="00314CA7" w:rsidRPr="00C46EAE" w:rsidRDefault="00314CA7" w:rsidP="00D572A8">
      <w:pPr>
        <w:spacing w:after="120"/>
        <w:jc w:val="both"/>
        <w:rPr>
          <w:b/>
        </w:rPr>
      </w:pPr>
      <w:r w:rsidRPr="00C46EAE">
        <w:rPr>
          <w:b/>
        </w:rPr>
        <w:t>Tesis de maestría o máster</w:t>
      </w:r>
    </w:p>
    <w:p w:rsidR="00314CA7" w:rsidRDefault="00314CA7" w:rsidP="00D572A8">
      <w:pPr>
        <w:spacing w:after="120"/>
        <w:jc w:val="both"/>
      </w:pPr>
      <w:r>
        <w:t>De acuerdo a la CONEAU, “el trabajo final de una Maestría Académica es una tesis que</w:t>
      </w:r>
      <w:r w:rsidR="00C46EAE">
        <w:t xml:space="preserve"> </w:t>
      </w:r>
      <w:r>
        <w:t>da cuenta del estado del arte en la temática elegida y de la implementación de una</w:t>
      </w:r>
      <w:r w:rsidR="00C46EAE">
        <w:t xml:space="preserve"> </w:t>
      </w:r>
      <w:r>
        <w:t>metodología de investigación pertinente a la misma”.</w:t>
      </w:r>
    </w:p>
    <w:p w:rsidR="00C46EAE" w:rsidRDefault="00C46EAE" w:rsidP="00D572A8">
      <w:pPr>
        <w:spacing w:after="120"/>
        <w:jc w:val="both"/>
      </w:pPr>
    </w:p>
    <w:p w:rsidR="00314CA7" w:rsidRPr="00C46EAE" w:rsidRDefault="00314CA7" w:rsidP="00D572A8">
      <w:pPr>
        <w:spacing w:after="120"/>
        <w:jc w:val="both"/>
        <w:rPr>
          <w:b/>
        </w:rPr>
      </w:pPr>
      <w:r w:rsidRPr="00C46EAE">
        <w:rPr>
          <w:b/>
        </w:rPr>
        <w:t>Tesis de doctorado</w:t>
      </w:r>
    </w:p>
    <w:p w:rsidR="00314CA7" w:rsidRDefault="00314CA7" w:rsidP="00D572A8">
      <w:pPr>
        <w:spacing w:after="120"/>
        <w:jc w:val="both"/>
      </w:pPr>
      <w:r>
        <w:t>Siguiendo a la CONEAU, según Resolución Ministerial N° 160/11 del Ministerio de</w:t>
      </w:r>
      <w:r w:rsidR="00C46EAE">
        <w:t xml:space="preserve"> </w:t>
      </w:r>
      <w:r>
        <w:t>Educación, las carreras de doctorado culminan con una tesis de carácter individual que</w:t>
      </w:r>
      <w:r w:rsidR="00C46EAE">
        <w:t xml:space="preserve"> </w:t>
      </w:r>
      <w:r>
        <w:t>se realiza bajo la supervisión de un Director. “La tesis doctoral es un trabajo de</w:t>
      </w:r>
      <w:r w:rsidR="00C46EAE">
        <w:t xml:space="preserve"> </w:t>
      </w:r>
      <w:r>
        <w:t>investigación original que se defiende públicamente ante un tribunal de doctores.”</w:t>
      </w:r>
    </w:p>
    <w:p w:rsidR="00C46EAE" w:rsidRDefault="00C46EAE" w:rsidP="00D572A8">
      <w:pPr>
        <w:spacing w:after="120"/>
        <w:jc w:val="both"/>
      </w:pPr>
    </w:p>
    <w:p w:rsidR="00314CA7" w:rsidRPr="00C46EAE" w:rsidRDefault="00314CA7" w:rsidP="00D572A8">
      <w:pPr>
        <w:spacing w:after="120"/>
        <w:jc w:val="both"/>
        <w:rPr>
          <w:b/>
        </w:rPr>
      </w:pPr>
      <w:r w:rsidRPr="00C46EAE">
        <w:rPr>
          <w:b/>
        </w:rPr>
        <w:t>Tesis o trabajos finales de grado</w:t>
      </w:r>
      <w:bookmarkStart w:id="0" w:name="_GoBack"/>
      <w:bookmarkEnd w:id="0"/>
    </w:p>
    <w:p w:rsidR="00314CA7" w:rsidRDefault="00314CA7" w:rsidP="00D572A8">
      <w:pPr>
        <w:spacing w:after="120"/>
        <w:jc w:val="both"/>
      </w:pPr>
      <w:r>
        <w:t>Son trabajos finales realizados para completar los requerimientos de una carrera de</w:t>
      </w:r>
      <w:r w:rsidR="00C46EAE">
        <w:t xml:space="preserve"> grado.</w:t>
      </w:r>
    </w:p>
    <w:sectPr w:rsidR="00314CA7" w:rsidSect="00272F22"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87266"/>
    <w:multiLevelType w:val="hybridMultilevel"/>
    <w:tmpl w:val="2B18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72843"/>
    <w:multiLevelType w:val="hybridMultilevel"/>
    <w:tmpl w:val="7BAE66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AF"/>
    <w:rsid w:val="0008251C"/>
    <w:rsid w:val="00171F91"/>
    <w:rsid w:val="00272F22"/>
    <w:rsid w:val="00314CA7"/>
    <w:rsid w:val="004D23AF"/>
    <w:rsid w:val="00502372"/>
    <w:rsid w:val="005C1F61"/>
    <w:rsid w:val="00960C05"/>
    <w:rsid w:val="00990E59"/>
    <w:rsid w:val="00C46EAE"/>
    <w:rsid w:val="00D5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0E5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0E5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825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0E5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0E5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825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ia.utn.edu.a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908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UTN</dc:creator>
  <cp:keywords/>
  <dc:description/>
  <cp:lastModifiedBy>UTN</cp:lastModifiedBy>
  <cp:revision>8</cp:revision>
  <cp:lastPrinted>2016-12-06T19:29:00Z</cp:lastPrinted>
  <dcterms:created xsi:type="dcterms:W3CDTF">2016-12-06T19:22:00Z</dcterms:created>
  <dcterms:modified xsi:type="dcterms:W3CDTF">2017-06-08T23:54:00Z</dcterms:modified>
</cp:coreProperties>
</file>